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990" w:right="-90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Nomination loading Vessels &amp; Barges </w:t>
        <w:tab/>
        <w:tab/>
        <w:tab/>
        <w:tab/>
        <w:tab/>
        <w:t xml:space="preserve">  Liquin Botlek, TTR &amp; Chemiehaven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99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95.0" w:type="dxa"/>
        <w:jc w:val="left"/>
        <w:tblInd w:w="-9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2"/>
        <w:gridCol w:w="8273"/>
        <w:tblGridChange w:id="0">
          <w:tblGrid>
            <w:gridCol w:w="3022"/>
            <w:gridCol w:w="8273"/>
          </w:tblGrid>
        </w:tblGridChange>
      </w:tblGrid>
      <w:tr>
        <w:trPr>
          <w:cantSplit w:val="0"/>
          <w:tblHeader w:val="0"/>
        </w:trPr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Loading details</w:t>
            </w:r>
          </w:p>
        </w:tc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Your information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Terminal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Botlek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Chemiehaven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TTR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Mode of transport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Barge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Vessel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Name of vehicle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Estimated Time of Arrival (ETA)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Reference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Barge owner / Vessel’s agent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Product &amp; Commodity Code (GN)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Quantity (kg) &amp; tolerance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Supplying tank(s)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Duty status to be loaded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T1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T2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Excise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Specific origin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Destination (full address)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Surveyor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Analysis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End of line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Manifold 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First foot</w:t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-990" w:firstLine="0"/>
        <w:rPr>
          <w:b w:val="1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18"/>
          <w:szCs w:val="18"/>
          <w:rtl w:val="0"/>
        </w:rPr>
        <w:t xml:space="preserve">  Customs details:</w:t>
      </w:r>
    </w:p>
    <w:tbl>
      <w:tblPr>
        <w:tblStyle w:val="Table2"/>
        <w:tblW w:w="11280.0" w:type="dxa"/>
        <w:jc w:val="left"/>
        <w:tblInd w:w="-9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1"/>
        <w:gridCol w:w="1920"/>
        <w:gridCol w:w="3174"/>
        <w:gridCol w:w="5165"/>
        <w:tblGridChange w:id="0">
          <w:tblGrid>
            <w:gridCol w:w="1021"/>
            <w:gridCol w:w="1920"/>
            <w:gridCol w:w="3174"/>
            <w:gridCol w:w="5165"/>
          </w:tblGrid>
        </w:tblGridChange>
      </w:tblGrid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Status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Destination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Details needed in next column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Your input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T2 Excise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Within the 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AWK &amp; TXW numbers + both addresses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Within the 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NCTS office destination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Switzerland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NCTS transit office &amp; destination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T1 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Export (outside EU)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Invoice with incoterms and 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freight costs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Attach to your email </w:t>
            </w:r>
          </w:p>
        </w:tc>
      </w:tr>
    </w:tbl>
    <w:p w:rsidR="00000000" w:rsidDel="00000000" w:rsidP="00000000" w:rsidRDefault="00000000" w:rsidRPr="00000000" w14:paraId="0000003A">
      <w:pPr>
        <w:widowControl w:val="0"/>
        <w:spacing w:line="240" w:lineRule="auto"/>
        <w:ind w:left="-99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left="-99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Additional services:</w:t>
      </w:r>
    </w:p>
    <w:tbl>
      <w:tblPr>
        <w:tblStyle w:val="Table3"/>
        <w:tblW w:w="11295.0" w:type="dxa"/>
        <w:jc w:val="left"/>
        <w:tblInd w:w="-9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0"/>
        <w:gridCol w:w="7125"/>
        <w:tblGridChange w:id="0">
          <w:tblGrid>
            <w:gridCol w:w="4170"/>
            <w:gridCol w:w="7125"/>
          </w:tblGrid>
        </w:tblGridChange>
      </w:tblGrid>
      <w:tr>
        <w:trPr>
          <w:cantSplit w:val="0"/>
          <w:tblHeader w:val="0"/>
        </w:trPr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To be arranged by Liquin</w:t>
            </w:r>
          </w:p>
        </w:tc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Your information</w:t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Customs clearance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Yes (please attach invoice)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No</w:t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Purging or blanketing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Yes, oxygen level:              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No</w:t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Documents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Export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T2L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EUR1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eAD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No documents needed </w:t>
            </w:r>
          </w:p>
        </w:tc>
      </w:tr>
    </w:tbl>
    <w:p w:rsidR="00000000" w:rsidDel="00000000" w:rsidP="00000000" w:rsidRDefault="00000000" w:rsidRPr="00000000" w14:paraId="00000044">
      <w:pPr>
        <w:widowControl w:val="0"/>
        <w:spacing w:line="24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22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ind w:left="-990" w:firstLine="27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4695825</wp:posOffset>
          </wp:positionH>
          <wp:positionV relativeFrom="paragraph">
            <wp:posOffset>-95249</wp:posOffset>
          </wp:positionV>
          <wp:extent cx="1579049" cy="361625"/>
          <wp:effectExtent b="0" l="0" r="0" t="0"/>
          <wp:wrapSquare wrapText="bothSides" distB="19050" distT="19050" distL="19050" distR="1905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9049" cy="3616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ind w:left="-99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ind w:left="-990" w:firstLine="0"/>
      <w:rPr>
        <w:b w:val="1"/>
      </w:rPr>
    </w:pPr>
    <w:r w:rsidDel="00000000" w:rsidR="00000000" w:rsidRPr="00000000">
      <w:rPr>
        <w:b w:val="1"/>
        <w:rtl w:val="0"/>
      </w:rPr>
      <w:tab/>
      <w:tab/>
      <w:tab/>
      <w:tab/>
      <w:tab/>
      <w:tab/>
      <w:tab/>
      <w:tab/>
    </w:r>
  </w:p>
  <w:p w:rsidR="00000000" w:rsidDel="00000000" w:rsidP="00000000" w:rsidRDefault="00000000" w:rsidRPr="00000000" w14:paraId="00000047">
    <w:pPr>
      <w:rPr>
        <w:b w:val="1"/>
        <w:color w:val="ffffff"/>
      </w:rPr>
    </w:pPr>
    <w:r w:rsidDel="00000000" w:rsidR="00000000" w:rsidRPr="00000000">
      <w:rPr>
        <w:b w:val="1"/>
        <w:color w:val="ffffff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33085F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3085F"/>
  </w:style>
  <w:style w:type="paragraph" w:styleId="Footer">
    <w:name w:val="footer"/>
    <w:basedOn w:val="Normal"/>
    <w:link w:val="FooterChar"/>
    <w:uiPriority w:val="99"/>
    <w:unhideWhenUsed w:val="1"/>
    <w:rsid w:val="0033085F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3085F"/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9aSCsQZnNGKyEJpe66WPq/yvuQ==">CgMxLjAyCGguZ2pkZ3hzOAByITFXLWdNTG10eG94T0doUUFYVjZ3SUFEYjE2bXFIalg2Wg==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2021-12-03T15:26:00Z</dcterms:created>
</cp:coreProperties>
</file>